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03" w:rsidRDefault="00F00C03" w:rsidP="00F00C03">
      <w:pPr>
        <w:spacing w:line="360" w:lineRule="auto"/>
        <w:rPr>
          <w:rFonts w:ascii="微软雅黑" w:eastAsia="微软雅黑" w:hAnsi="微软雅黑" w:hint="eastAsia"/>
          <w:color w:val="2B2B2B"/>
          <w:szCs w:val="21"/>
        </w:rPr>
      </w:pPr>
      <w:r>
        <w:rPr>
          <w:rFonts w:ascii="微软雅黑" w:eastAsia="微软雅黑" w:hAnsi="微软雅黑" w:hint="eastAsia"/>
          <w:color w:val="2B2B2B"/>
          <w:szCs w:val="21"/>
        </w:rPr>
        <w:t>各省辖市、省直管县（市）科技局，济源示范区管委会科技主管部门, 各国家高新区、郑州航空港经济综合实验区、郑州经济技术开发区管委会，省直有关部门，各有关单位：</w:t>
      </w:r>
    </w:p>
    <w:p w:rsidR="00F00C03" w:rsidRDefault="00F00C03" w:rsidP="00F00C03">
      <w:pPr>
        <w:spacing w:line="360" w:lineRule="auto"/>
        <w:rPr>
          <w:rFonts w:ascii="微软雅黑" w:eastAsia="微软雅黑" w:hAnsi="微软雅黑" w:hint="eastAsia"/>
          <w:color w:val="2B2B2B"/>
          <w:szCs w:val="21"/>
        </w:rPr>
      </w:pPr>
    </w:p>
    <w:p w:rsidR="00F00C03" w:rsidRDefault="00F00C03" w:rsidP="00F00C03">
      <w:pPr>
        <w:spacing w:line="360" w:lineRule="auto"/>
        <w:ind w:firstLineChars="200" w:firstLine="420"/>
        <w:rPr>
          <w:rFonts w:ascii="微软雅黑" w:eastAsia="微软雅黑" w:hAnsi="微软雅黑" w:hint="eastAsia"/>
          <w:color w:val="2B2B2B"/>
          <w:szCs w:val="21"/>
        </w:rPr>
      </w:pPr>
      <w:r>
        <w:rPr>
          <w:rFonts w:ascii="微软雅黑" w:eastAsia="微软雅黑" w:hAnsi="微软雅黑" w:hint="eastAsia"/>
          <w:color w:val="2B2B2B"/>
          <w:szCs w:val="21"/>
        </w:rPr>
        <w:t>根据《河南省省级重点实验室建设与运行管理办法》（</w:t>
      </w:r>
      <w:proofErr w:type="gramStart"/>
      <w:r>
        <w:rPr>
          <w:rFonts w:ascii="微软雅黑" w:eastAsia="微软雅黑" w:hAnsi="微软雅黑" w:hint="eastAsia"/>
          <w:color w:val="2B2B2B"/>
          <w:szCs w:val="21"/>
        </w:rPr>
        <w:t>豫科〔2019〕</w:t>
      </w:r>
      <w:proofErr w:type="gramEnd"/>
      <w:r>
        <w:rPr>
          <w:rFonts w:ascii="微软雅黑" w:eastAsia="微软雅黑" w:hAnsi="微软雅黑" w:hint="eastAsia"/>
          <w:color w:val="2B2B2B"/>
          <w:szCs w:val="21"/>
        </w:rPr>
        <w:t>166号）文件精神，为进一步加强省级重点实验室建设，提升创新能力,按照“明确领域方向，优化建设布局，择优遴选支持”的原则，在充分征求各方面意见的基础上，经研究，决定在农林、电子信息、资源与环境、能源与化工、医学、材料、制造等领域，新建一批省级重点实验室。现将有关事项通知如下：</w:t>
      </w:r>
      <w:r>
        <w:rPr>
          <w:rFonts w:ascii="微软雅黑" w:eastAsia="微软雅黑" w:hAnsi="微软雅黑" w:hint="eastAsia"/>
          <w:color w:val="2B2B2B"/>
          <w:szCs w:val="21"/>
        </w:rPr>
        <w:br/>
        <w:t>    </w:t>
      </w:r>
      <w:r>
        <w:rPr>
          <w:rFonts w:ascii="黑体" w:eastAsia="黑体" w:hAnsi="黑体" w:hint="eastAsia"/>
          <w:color w:val="2B2B2B"/>
          <w:szCs w:val="21"/>
        </w:rPr>
        <w:t>一、申报条件</w:t>
      </w:r>
      <w:r>
        <w:rPr>
          <w:rFonts w:ascii="黑体" w:eastAsia="黑体" w:hAnsi="黑体" w:hint="eastAsia"/>
          <w:color w:val="2B2B2B"/>
          <w:szCs w:val="21"/>
        </w:rPr>
        <w:br/>
      </w:r>
      <w:r>
        <w:rPr>
          <w:rFonts w:ascii="微软雅黑" w:eastAsia="微软雅黑" w:hAnsi="微软雅黑" w:hint="eastAsia"/>
          <w:color w:val="2B2B2B"/>
          <w:szCs w:val="21"/>
        </w:rPr>
        <w:t>  （一）研究发展方向符合我省经济与科技优先发展领域，与我省经济社会发展关系密切。优先支持已运行、并对外开放2年以上的省辖市级和省直有关行业主管部门重点实验室；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>    </w:t>
      </w:r>
      <w:r>
        <w:rPr>
          <w:rFonts w:ascii="微软雅黑" w:eastAsia="微软雅黑" w:hAnsi="微软雅黑" w:hint="eastAsia"/>
          <w:color w:val="2B2B2B"/>
          <w:szCs w:val="21"/>
        </w:rPr>
        <w:t>（二）学科特色突出，在本领域具有国内先进水平或地方特色，承担并完成了国家、省(部)和大型</w:t>
      </w:r>
      <w:proofErr w:type="gramStart"/>
      <w:r>
        <w:rPr>
          <w:rFonts w:ascii="微软雅黑" w:eastAsia="微软雅黑" w:hAnsi="微软雅黑" w:hint="eastAsia"/>
          <w:color w:val="2B2B2B"/>
          <w:szCs w:val="21"/>
        </w:rPr>
        <w:t>央企重大</w:t>
      </w:r>
      <w:proofErr w:type="gramEnd"/>
      <w:r>
        <w:rPr>
          <w:rFonts w:ascii="微软雅黑" w:eastAsia="微软雅黑" w:hAnsi="微软雅黑" w:hint="eastAsia"/>
          <w:color w:val="2B2B2B"/>
          <w:szCs w:val="21"/>
        </w:rPr>
        <w:t>科研任务，拥有一定数量的具有自主知识产权的科研成果、发明专利或专有技术；  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>    </w:t>
      </w:r>
      <w:r>
        <w:rPr>
          <w:rFonts w:ascii="微软雅黑" w:eastAsia="微软雅黑" w:hAnsi="微软雅黑" w:hint="eastAsia"/>
          <w:color w:val="2B2B2B"/>
          <w:szCs w:val="21"/>
        </w:rPr>
        <w:t>（三）学术水平、人才培养和队伍建设等方面有较强的竞争力。学术水平较高、学风严谨、开拓创新精神强的学术带头人（有省、部级以上学术荣誉称号的研究人员）2人以上；重点实验室主任具有较高的学术水平、较强的组织管理和协调能力；研究队伍结构合理，固定研究人员不少于20人；具有培养或合作培养研究生的能力；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>    </w:t>
      </w:r>
      <w:r>
        <w:rPr>
          <w:rFonts w:ascii="微软雅黑" w:eastAsia="微软雅黑" w:hAnsi="微软雅黑" w:hint="eastAsia"/>
          <w:color w:val="2B2B2B"/>
          <w:szCs w:val="21"/>
        </w:rPr>
        <w:t>（四）已经具备一定规模的科研实验条件和工作基础，其中实验室面积1000平方米以上；拥有的科研仪器设备基本能满足科研实验的要求，其总值（原值）1000万元以上；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>    </w:t>
      </w:r>
      <w:r>
        <w:rPr>
          <w:rFonts w:ascii="微软雅黑" w:eastAsia="微软雅黑" w:hAnsi="微软雅黑" w:hint="eastAsia"/>
          <w:color w:val="2B2B2B"/>
          <w:szCs w:val="21"/>
        </w:rPr>
        <w:t>（五）申请建设单位班子成员团结协作、管理科学、高效精干、勇于创新，能够承担建设和管理重点实验室的责任；每年能为重点实验室提供必要的技术支撑、后勤保障及一定的</w:t>
      </w:r>
      <w:r>
        <w:rPr>
          <w:rFonts w:ascii="微软雅黑" w:eastAsia="微软雅黑" w:hAnsi="微软雅黑" w:hint="eastAsia"/>
          <w:color w:val="2B2B2B"/>
          <w:szCs w:val="21"/>
        </w:rPr>
        <w:lastRenderedPageBreak/>
        <w:t>运行保障经费等配套条件；已建立起较完善的管理办法和规章制度；初步建立“开放、流动、联合、竞争”的运行机制；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>    </w:t>
      </w:r>
      <w:r>
        <w:rPr>
          <w:rFonts w:ascii="微软雅黑" w:eastAsia="微软雅黑" w:hAnsi="微软雅黑" w:hint="eastAsia"/>
          <w:color w:val="2B2B2B"/>
          <w:szCs w:val="21"/>
        </w:rPr>
        <w:t>（六）重点实验室依托单位为高等院校、科研院所的，须有重点学科的支撑。重点实验室依托单位为转制科研院所和企业或新型研发机构的，依托单位应从事本领域前沿技术、关键技术和共性技术研究5年以上；研究方向相对集中，研究开发的产品具有较强的市场竞争力，在行业内具有较高的知名度和影响力；年研究开发经费达到销售收入的3%以上。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>    </w:t>
      </w:r>
      <w:r>
        <w:rPr>
          <w:rFonts w:ascii="微软雅黑" w:eastAsia="微软雅黑" w:hAnsi="微软雅黑" w:hint="eastAsia"/>
          <w:color w:val="2B2B2B"/>
          <w:szCs w:val="21"/>
        </w:rPr>
        <w:t>（七）实验室固定人员中，有下列高层次人才者，将优先予以支持：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>       </w:t>
      </w:r>
      <w:r>
        <w:rPr>
          <w:rFonts w:ascii="微软雅黑" w:eastAsia="微软雅黑" w:hAnsi="微软雅黑" w:hint="eastAsia"/>
          <w:color w:val="2B2B2B"/>
          <w:szCs w:val="21"/>
        </w:rPr>
        <w:t>1.中国科学院院士、中国工程院院士。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 2.国家杰出青年科学基金获得者、教育部“长江学者”入选者、国家“万人计划”入选者。</w:t>
      </w:r>
      <w:r>
        <w:rPr>
          <w:rFonts w:ascii="微软雅黑" w:eastAsia="微软雅黑" w:hAnsi="微软雅黑" w:hint="eastAsia"/>
          <w:color w:val="2B2B2B"/>
          <w:szCs w:val="21"/>
        </w:rPr>
        <w:br/>
        <w:t>     3.百千万人才工程国家级人选、国家有突出贡献的中青年专家、中原学者。</w:t>
      </w:r>
      <w:r>
        <w:rPr>
          <w:rFonts w:ascii="微软雅黑" w:eastAsia="微软雅黑" w:hAnsi="微软雅黑" w:hint="eastAsia"/>
          <w:color w:val="2B2B2B"/>
          <w:szCs w:val="21"/>
        </w:rPr>
        <w:br/>
        <w:t xml:space="preserve">     4.其他国家级高层次专业技术人才。</w:t>
      </w:r>
      <w:r>
        <w:rPr>
          <w:rFonts w:ascii="微软雅黑" w:eastAsia="微软雅黑" w:hAnsi="微软雅黑" w:hint="eastAsia"/>
          <w:color w:val="2B2B2B"/>
          <w:szCs w:val="21"/>
        </w:rPr>
        <w:br/>
        <w:t>    </w:t>
      </w:r>
      <w:r>
        <w:rPr>
          <w:rFonts w:ascii="黑体" w:eastAsia="黑体" w:hAnsi="黑体" w:hint="eastAsia"/>
          <w:color w:val="2B2B2B"/>
          <w:szCs w:val="21"/>
        </w:rPr>
        <w:t>二、分类建设</w:t>
      </w:r>
      <w:r>
        <w:rPr>
          <w:rFonts w:ascii="宋体" w:eastAsia="宋体" w:hAnsi="宋体" w:cs="宋体" w:hint="eastAsia"/>
          <w:color w:val="2B2B2B"/>
          <w:szCs w:val="21"/>
        </w:rPr>
        <w:t> </w:t>
      </w:r>
      <w:r>
        <w:rPr>
          <w:rFonts w:ascii="黑体" w:eastAsia="黑体" w:hAnsi="黑体" w:hint="eastAsia"/>
          <w:color w:val="2B2B2B"/>
          <w:szCs w:val="21"/>
        </w:rPr>
        <w:br/>
      </w:r>
      <w:r>
        <w:rPr>
          <w:rFonts w:ascii="微软雅黑" w:eastAsia="微软雅黑" w:hAnsi="微软雅黑" w:hint="eastAsia"/>
          <w:color w:val="2B2B2B"/>
          <w:szCs w:val="21"/>
        </w:rPr>
        <w:t>    （一）学科类重点实验室。依托高等院校、科研院所建设，面向学科前沿和重大科学问题，面向经济社会的重要领域，开展战略性、前瞻性、前沿性基础和应用基础研究，聚集和培养高层次科技人才团队，为提升原始创新能力、引领带动学科和领域发展、实现可持续创新发展提供先进技术理论、人才团队等科技支撑。</w:t>
      </w:r>
      <w:r>
        <w:rPr>
          <w:rFonts w:ascii="微软雅黑" w:eastAsia="微软雅黑" w:hAnsi="微软雅黑" w:hint="eastAsia"/>
          <w:color w:val="2B2B2B"/>
          <w:szCs w:val="21"/>
        </w:rPr>
        <w:br/>
        <w:t xml:space="preserve"> </w:t>
      </w:r>
      <w:r w:rsidRPr="00F00C03">
        <w:rPr>
          <w:rFonts w:ascii="微软雅黑" w:eastAsia="微软雅黑" w:hAnsi="微软雅黑" w:hint="eastAsia"/>
          <w:color w:val="2B2B2B"/>
          <w:szCs w:val="21"/>
        </w:rPr>
        <w:t>   </w:t>
      </w:r>
      <w:r w:rsidRPr="00F00C03">
        <w:rPr>
          <w:rFonts w:ascii="微软雅黑" w:eastAsia="微软雅黑" w:hAnsi="微软雅黑"/>
          <w:color w:val="2B2B2B"/>
          <w:szCs w:val="21"/>
        </w:rPr>
        <w:t>（二）企业类重点实验室。依托在省内注册的、符合我省重点发展的产业、行业的研发投入力度大、科研活跃度高、研发条件完善、创新实力强的企业建设。以培育和建设企业国家重点实验室为目标，面向社会和行业未来发展的需求，开展应用基础研究、现代工程技术和竞争前关键共性技术研究，研究制定国际标准、国家和行业标准，聚集和培养优秀人才，引领和带动行业技术进步，为提升产业核心竞争力、推动行业科技进步提供支撑。</w:t>
      </w:r>
      <w:r w:rsidRPr="00F00C03">
        <w:rPr>
          <w:rFonts w:ascii="微软雅黑" w:eastAsia="微软雅黑" w:hAnsi="微软雅黑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lastRenderedPageBreak/>
        <w:t>      </w:t>
      </w:r>
      <w:r>
        <w:rPr>
          <w:rFonts w:ascii="黑体" w:eastAsia="黑体" w:hAnsi="黑体" w:hint="eastAsia"/>
          <w:color w:val="2B2B2B"/>
          <w:szCs w:val="21"/>
        </w:rPr>
        <w:t>三、注意事项</w:t>
      </w:r>
      <w:r>
        <w:rPr>
          <w:rFonts w:ascii="黑体" w:eastAsia="黑体" w:hAnsi="黑体" w:hint="eastAsia"/>
          <w:color w:val="2B2B2B"/>
          <w:szCs w:val="21"/>
        </w:rPr>
        <w:br/>
      </w:r>
      <w:r>
        <w:rPr>
          <w:rFonts w:ascii="宋体" w:eastAsia="宋体" w:hAnsi="宋体" w:cs="宋体" w:hint="eastAsia"/>
          <w:color w:val="2B2B2B"/>
          <w:szCs w:val="21"/>
        </w:rPr>
        <w:t>  </w:t>
      </w:r>
      <w:r>
        <w:rPr>
          <w:rFonts w:ascii="微软雅黑" w:eastAsia="微软雅黑" w:hAnsi="微软雅黑" w:hint="eastAsia"/>
          <w:color w:val="2B2B2B"/>
          <w:szCs w:val="21"/>
        </w:rPr>
        <w:t>（一）申报实验室必须符合要求的申报领域和方向（见附件1）。实验室名称和主要研究方向应比申报领域和方向更加明确和集中，并突出优势和特色，避免过于宽泛。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 xml:space="preserve">      </w:t>
      </w:r>
      <w:r>
        <w:rPr>
          <w:rFonts w:ascii="微软雅黑" w:eastAsia="微软雅黑" w:hAnsi="微软雅黑" w:hint="eastAsia"/>
          <w:color w:val="2B2B2B"/>
          <w:szCs w:val="21"/>
        </w:rPr>
        <w:t>（二）申报名额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  1.省辖市、省直管县（市）申报名额分配：</w:t>
      </w:r>
      <w:r>
        <w:rPr>
          <w:rFonts w:ascii="微软雅黑" w:eastAsia="微软雅黑" w:hAnsi="微软雅黑" w:hint="eastAsia"/>
          <w:color w:val="2B2B2B"/>
          <w:szCs w:val="21"/>
        </w:rPr>
        <w:br/>
        <w:t xml:space="preserve">    （1）郑州市、洛阳市、新乡市各3个，开封市等14个省辖市、济源示范区管委会各2个；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 xml:space="preserve">     </w:t>
      </w:r>
      <w:r>
        <w:rPr>
          <w:rFonts w:ascii="微软雅黑" w:eastAsia="微软雅黑" w:hAnsi="微软雅黑" w:hint="eastAsia"/>
          <w:color w:val="2B2B2B"/>
          <w:szCs w:val="21"/>
        </w:rPr>
        <w:t>（2）10个省直管县（市）各1个；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Arial" w:eastAsia="黑体" w:hAnsi="Arial" w:cs="Arial" w:hint="eastAsia"/>
          <w:color w:val="2B2B2B"/>
          <w:szCs w:val="21"/>
        </w:rPr>
        <w:t xml:space="preserve">     </w:t>
      </w:r>
      <w:r>
        <w:rPr>
          <w:rFonts w:ascii="微软雅黑" w:eastAsia="微软雅黑" w:hAnsi="微软雅黑" w:hint="eastAsia"/>
          <w:color w:val="2B2B2B"/>
          <w:szCs w:val="21"/>
        </w:rPr>
        <w:t>（3）中央驻豫科研院所不受省辖市指标限制。</w:t>
      </w:r>
      <w:r>
        <w:rPr>
          <w:rFonts w:ascii="微软雅黑" w:eastAsia="微软雅黑" w:hAnsi="微软雅黑" w:hint="eastAsia"/>
          <w:color w:val="2B2B2B"/>
          <w:szCs w:val="21"/>
        </w:rPr>
        <w:br/>
        <w:t>   2. 高等院校申报名额分配：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郑州大学5个（含所有附属医院）、河南大学4个（含所有附属医院）,河南农业大学、河南师范大学、河南科技大学(含所有附属医院)、河南理工大学、河南工业大学、河南财经政法大学、华北水利水电大学、河南中医药大学(含所有附属医院)、郑州轻工业大学、中国人民解放军战略支援部队信息工程大学等10个大学各2个,</w:t>
      </w:r>
      <w:r w:rsidRPr="00F00C03">
        <w:rPr>
          <w:rFonts w:ascii="微软雅黑" w:eastAsia="微软雅黑" w:hAnsi="微软雅黑" w:hint="eastAsia"/>
          <w:b/>
          <w:color w:val="2B2B2B"/>
          <w:szCs w:val="21"/>
        </w:rPr>
        <w:t>省内其他本专科院校1个</w:t>
      </w:r>
      <w:r>
        <w:rPr>
          <w:rFonts w:ascii="微软雅黑" w:eastAsia="微软雅黑" w:hAnsi="微软雅黑" w:hint="eastAsia"/>
          <w:color w:val="2B2B2B"/>
          <w:szCs w:val="21"/>
        </w:rPr>
        <w:t>。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3. 省</w:t>
      </w:r>
      <w:proofErr w:type="gramStart"/>
      <w:r>
        <w:rPr>
          <w:rFonts w:ascii="微软雅黑" w:eastAsia="微软雅黑" w:hAnsi="微软雅黑" w:hint="eastAsia"/>
          <w:color w:val="2B2B2B"/>
          <w:szCs w:val="21"/>
        </w:rPr>
        <w:t>卫健委3个</w:t>
      </w:r>
      <w:proofErr w:type="gramEnd"/>
      <w:r>
        <w:rPr>
          <w:rFonts w:ascii="微软雅黑" w:eastAsia="微软雅黑" w:hAnsi="微软雅黑" w:hint="eastAsia"/>
          <w:color w:val="2B2B2B"/>
          <w:szCs w:val="21"/>
        </w:rPr>
        <w:t>,省科学院、省农科院各2个,其他省直有关部门1个。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4. 各国家高新区、郑州航空港经济综合实验区、国家郑州经济技术开发区管委会各2个。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（三）申报联合建设的实验室必须有联合建设协议书，加盖单位公章，并明确主要依托单位，以及各个建设单位在实验室建设和运行中的权利、义务和责任。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（四）组建河南省重点实验室申报书应组织不少于5名从事重点实验室管理的专家对实验室名称、研究方向、申报材料等进行论证，并</w:t>
      </w:r>
      <w:proofErr w:type="gramStart"/>
      <w:r>
        <w:rPr>
          <w:rFonts w:ascii="微软雅黑" w:eastAsia="微软雅黑" w:hAnsi="微软雅黑" w:hint="eastAsia"/>
          <w:color w:val="2B2B2B"/>
          <w:szCs w:val="21"/>
        </w:rPr>
        <w:t>附专家</w:t>
      </w:r>
      <w:proofErr w:type="gramEnd"/>
      <w:r>
        <w:rPr>
          <w:rFonts w:ascii="微软雅黑" w:eastAsia="微软雅黑" w:hAnsi="微软雅黑" w:hint="eastAsia"/>
          <w:color w:val="2B2B2B"/>
          <w:szCs w:val="21"/>
        </w:rPr>
        <w:t>论证签字意见表（姓名、单位、职称、专业、联系电话等）。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（五）省级重点实验室统一按照“河南省XXX（核心研究方向）重点实验室”命名。</w:t>
      </w:r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微软雅黑" w:eastAsia="微软雅黑" w:hAnsi="微软雅黑" w:hint="eastAsia"/>
          <w:color w:val="2B2B2B"/>
          <w:szCs w:val="21"/>
        </w:rPr>
        <w:lastRenderedPageBreak/>
        <w:t>    </w:t>
      </w:r>
      <w:r>
        <w:rPr>
          <w:rFonts w:ascii="宋体" w:eastAsia="宋体" w:hAnsi="宋体" w:cs="宋体" w:hint="eastAsia"/>
          <w:color w:val="2B2B2B"/>
          <w:szCs w:val="21"/>
        </w:rPr>
        <w:t> </w:t>
      </w:r>
      <w:r>
        <w:rPr>
          <w:rFonts w:ascii="黑体" w:eastAsia="黑体" w:hAnsi="黑体" w:hint="eastAsia"/>
          <w:color w:val="2B2B2B"/>
          <w:szCs w:val="21"/>
        </w:rPr>
        <w:t>四、申报程序</w:t>
      </w:r>
      <w:r>
        <w:rPr>
          <w:rFonts w:ascii="黑体" w:eastAsia="黑体" w:hAnsi="黑体" w:hint="eastAsia"/>
          <w:color w:val="2B2B2B"/>
          <w:szCs w:val="21"/>
        </w:rPr>
        <w:br/>
      </w:r>
      <w:r>
        <w:rPr>
          <w:rFonts w:ascii="微软雅黑" w:eastAsia="微软雅黑" w:hAnsi="微软雅黑" w:hint="eastAsia"/>
          <w:color w:val="2B2B2B"/>
          <w:szCs w:val="21"/>
        </w:rPr>
        <w:t>   （一）各申报单位严格按通知明确的申报名额登录“河南省科技管理信息系统（</w:t>
      </w:r>
      <w:hyperlink r:id="rId4" w:history="1">
        <w:r>
          <w:rPr>
            <w:rStyle w:val="a3"/>
            <w:rFonts w:ascii="微软雅黑" w:eastAsia="微软雅黑" w:hAnsi="微软雅黑" w:hint="eastAsia"/>
            <w:color w:val="444444"/>
            <w:szCs w:val="21"/>
            <w:u w:val="none"/>
          </w:rPr>
          <w:t>http://xm.hnkjt.gov.cn/</w:t>
        </w:r>
      </w:hyperlink>
      <w:r>
        <w:rPr>
          <w:rFonts w:ascii="微软雅黑" w:eastAsia="微软雅黑" w:hAnsi="微软雅黑" w:hint="eastAsia"/>
          <w:color w:val="2B2B2B"/>
          <w:szCs w:val="21"/>
        </w:rPr>
        <w:t>）”填报《组建河南省重点实验室申报书(学科类/企业类)》（格式见附件2、附件3），申报材料，并上</w:t>
      </w:r>
      <w:proofErr w:type="gramStart"/>
      <w:r>
        <w:rPr>
          <w:rFonts w:ascii="微软雅黑" w:eastAsia="微软雅黑" w:hAnsi="微软雅黑" w:hint="eastAsia"/>
          <w:color w:val="2B2B2B"/>
          <w:szCs w:val="21"/>
        </w:rPr>
        <w:t>传相关</w:t>
      </w:r>
      <w:proofErr w:type="gramEnd"/>
      <w:r>
        <w:rPr>
          <w:rFonts w:ascii="微软雅黑" w:eastAsia="微软雅黑" w:hAnsi="微软雅黑" w:hint="eastAsia"/>
          <w:color w:val="2B2B2B"/>
          <w:szCs w:val="21"/>
        </w:rPr>
        <w:t>附件。申报单位网上填报申报书的受理时间为：2020年1月13日8：00至2020年2月7日17：30。逾期不予受理。</w:t>
      </w:r>
      <w:r>
        <w:rPr>
          <w:rFonts w:ascii="微软雅黑" w:eastAsia="微软雅黑" w:hAnsi="微软雅黑" w:hint="eastAsia"/>
          <w:color w:val="2B2B2B"/>
          <w:szCs w:val="21"/>
        </w:rPr>
        <w:br/>
        <w:t>   （二）各主管部门（单位）按申报名额严格审核把关后提交。提交时间为</w:t>
      </w:r>
      <w:r w:rsidRPr="00F00C03">
        <w:rPr>
          <w:rFonts w:ascii="微软雅黑" w:eastAsia="微软雅黑" w:hAnsi="微软雅黑" w:hint="eastAsia"/>
          <w:b/>
          <w:color w:val="2B2B2B"/>
          <w:szCs w:val="21"/>
        </w:rPr>
        <w:t>2020年2月10日8:00至2月11日17:30</w:t>
      </w:r>
      <w:r>
        <w:rPr>
          <w:rFonts w:ascii="微软雅黑" w:eastAsia="微软雅黑" w:hAnsi="微软雅黑" w:hint="eastAsia"/>
          <w:color w:val="2B2B2B"/>
          <w:szCs w:val="21"/>
        </w:rPr>
        <w:t>，申报单位</w:t>
      </w:r>
      <w:proofErr w:type="gramStart"/>
      <w:r>
        <w:rPr>
          <w:rFonts w:ascii="微软雅黑" w:eastAsia="微软雅黑" w:hAnsi="微软雅黑" w:hint="eastAsia"/>
          <w:color w:val="2B2B2B"/>
          <w:szCs w:val="21"/>
        </w:rPr>
        <w:t>待主管</w:t>
      </w:r>
      <w:proofErr w:type="gramEnd"/>
      <w:r>
        <w:rPr>
          <w:rFonts w:ascii="微软雅黑" w:eastAsia="微软雅黑" w:hAnsi="微软雅黑" w:hint="eastAsia"/>
          <w:color w:val="2B2B2B"/>
          <w:szCs w:val="21"/>
        </w:rPr>
        <w:t>部门（单位）审核通过进行网上提交后，申报单位由系统生成PDF文档打印（相关附件材料附后），申报材料书籍式装订后一式6份报送主管部门（单位）审核盖章。其中申报材料一式2份（勿用塑料封面）并辅以佐证材料，纸质材料正反印刷为A4胶装，总页数不超过200页。申报书和佐证材料装订在一起，同时按申报的实验室名称上报PPT答辩材料（时间不超过20分钟），封面加盖依托单位和主管部门(单位)公章（联合建设的实验室需要加盖双方依托单位和主管部门公章）,经主管部门(单位)审核盖章后报省科技厅。其余3份留存以备答辩时使用，其中1份学校留档。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（三）报送时间：</w:t>
      </w:r>
      <w:r w:rsidRPr="00F00C03">
        <w:rPr>
          <w:rFonts w:ascii="微软雅黑" w:eastAsia="微软雅黑" w:hAnsi="微软雅黑" w:hint="eastAsia"/>
          <w:b/>
          <w:color w:val="2B2B2B"/>
          <w:szCs w:val="21"/>
        </w:rPr>
        <w:t>2020年2月13日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 报送地址：综合楼1025房间</w:t>
      </w:r>
    </w:p>
    <w:p w:rsidR="00F00C03" w:rsidRDefault="00F00C03" w:rsidP="00F00C03">
      <w:pPr>
        <w:spacing w:line="360" w:lineRule="auto"/>
        <w:ind w:firstLineChars="200" w:firstLine="420"/>
        <w:rPr>
          <w:rFonts w:ascii="微软雅黑" w:eastAsia="微软雅黑" w:hAnsi="微软雅黑" w:hint="eastAsia"/>
          <w:color w:val="2B2B2B"/>
          <w:szCs w:val="21"/>
        </w:rPr>
      </w:pPr>
      <w:r>
        <w:rPr>
          <w:rFonts w:ascii="微软雅黑" w:eastAsia="微软雅黑" w:hAnsi="微软雅黑" w:hint="eastAsia"/>
          <w:color w:val="2B2B2B"/>
          <w:szCs w:val="21"/>
        </w:rPr>
        <w:t>联系电话：62509955</w:t>
      </w:r>
    </w:p>
    <w:p w:rsidR="00F00C03" w:rsidRDefault="00F00C03" w:rsidP="00F00C03">
      <w:pPr>
        <w:spacing w:line="360" w:lineRule="auto"/>
        <w:ind w:firstLineChars="200" w:firstLine="420"/>
        <w:rPr>
          <w:rFonts w:ascii="微软雅黑" w:eastAsia="微软雅黑" w:hAnsi="微软雅黑" w:hint="eastAsia"/>
          <w:color w:val="2B2B2B"/>
          <w:szCs w:val="21"/>
        </w:rPr>
      </w:pPr>
    </w:p>
    <w:p w:rsidR="00CD6F58" w:rsidRDefault="00F00C03" w:rsidP="00F00C03">
      <w:pPr>
        <w:spacing w:line="360" w:lineRule="auto"/>
        <w:ind w:firstLineChars="200" w:firstLine="420"/>
      </w:pPr>
      <w:r w:rsidRPr="00F00C03">
        <w:rPr>
          <w:rFonts w:ascii="微软雅黑" w:eastAsia="微软雅黑" w:hAnsi="微软雅黑" w:hint="eastAsia"/>
          <w:b/>
          <w:color w:val="2B2B2B"/>
          <w:szCs w:val="21"/>
        </w:rPr>
        <w:t>科技厅联系方式：</w:t>
      </w:r>
      <w:r w:rsidRPr="00F00C03">
        <w:rPr>
          <w:rFonts w:ascii="微软雅黑" w:eastAsia="微软雅黑" w:hAnsi="微软雅黑" w:hint="eastAsia"/>
          <w:b/>
          <w:color w:val="2B2B2B"/>
          <w:szCs w:val="21"/>
        </w:rPr>
        <w:br/>
      </w:r>
      <w:r>
        <w:rPr>
          <w:rFonts w:ascii="微软雅黑" w:eastAsia="微软雅黑" w:hAnsi="微软雅黑" w:hint="eastAsia"/>
          <w:color w:val="2B2B2B"/>
          <w:szCs w:val="21"/>
        </w:rPr>
        <w:t>     联系人：省科技厅基础研究处  </w:t>
      </w:r>
      <w:r>
        <w:rPr>
          <w:rFonts w:ascii="微软雅黑" w:eastAsia="微软雅黑" w:hAnsi="微软雅黑" w:hint="eastAsia"/>
          <w:color w:val="2B2B2B"/>
          <w:szCs w:val="21"/>
        </w:rPr>
        <w:br/>
        <w:t>     吕  航 0371-86522313</w:t>
      </w:r>
      <w:r>
        <w:rPr>
          <w:rFonts w:ascii="微软雅黑" w:eastAsia="微软雅黑" w:hAnsi="微软雅黑" w:hint="eastAsia"/>
          <w:color w:val="2B2B2B"/>
          <w:szCs w:val="21"/>
        </w:rPr>
        <w:br/>
        <w:t>     单新民 0371-65967138</w:t>
      </w:r>
      <w:r>
        <w:rPr>
          <w:rFonts w:ascii="微软雅黑" w:eastAsia="微软雅黑" w:hAnsi="微软雅黑" w:hint="eastAsia"/>
          <w:color w:val="2B2B2B"/>
          <w:szCs w:val="21"/>
        </w:rPr>
        <w:br/>
        <w:t>     电子邮箱：</w:t>
      </w:r>
      <w:hyperlink r:id="rId5" w:history="1">
        <w:r>
          <w:rPr>
            <w:rStyle w:val="a3"/>
            <w:rFonts w:ascii="微软雅黑" w:eastAsia="微软雅黑" w:hAnsi="微软雅黑" w:hint="eastAsia"/>
            <w:color w:val="444444"/>
            <w:szCs w:val="21"/>
            <w:u w:val="none"/>
          </w:rPr>
          <w:t>kjtjcyjc@163.com</w:t>
        </w:r>
      </w:hyperlink>
      <w:r>
        <w:rPr>
          <w:rFonts w:ascii="微软雅黑" w:eastAsia="微软雅黑" w:hAnsi="微软雅黑" w:hint="eastAsia"/>
          <w:color w:val="2B2B2B"/>
          <w:szCs w:val="21"/>
        </w:rPr>
        <w:br/>
      </w:r>
      <w:r>
        <w:rPr>
          <w:rFonts w:ascii="微软雅黑" w:eastAsia="微软雅黑" w:hAnsi="微软雅黑" w:hint="eastAsia"/>
          <w:color w:val="2B2B2B"/>
          <w:szCs w:val="21"/>
        </w:rPr>
        <w:lastRenderedPageBreak/>
        <w:t xml:space="preserve">     申报系统技术支持    张德杨  0371-65831885</w:t>
      </w:r>
    </w:p>
    <w:sectPr w:rsidR="00CD6F58" w:rsidSect="00CD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C03"/>
    <w:rsid w:val="00CD6F58"/>
    <w:rsid w:val="00F0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jtjcyjc@163.com" TargetMode="External"/><Relationship Id="rId4" Type="http://schemas.openxmlformats.org/officeDocument/2006/relationships/hyperlink" Target="http://xm.hnkjt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446</Words>
  <Characters>2544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1</cp:revision>
  <dcterms:created xsi:type="dcterms:W3CDTF">2020-01-02T02:56:00Z</dcterms:created>
  <dcterms:modified xsi:type="dcterms:W3CDTF">2020-01-02T03:04:00Z</dcterms:modified>
</cp:coreProperties>
</file>